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81" w:rsidRDefault="00DE4F81" w:rsidP="00DE4F81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Project Specific Specification</w:t>
      </w:r>
    </w:p>
    <w:p w:rsidR="00DE4F81" w:rsidRPr="00FD6F45" w:rsidRDefault="009B0DE5" w:rsidP="00DE4F81">
      <w:pPr>
        <w:pStyle w:val="Heading2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FD6F45">
        <w:rPr>
          <w:rFonts w:ascii="Arial" w:hAnsi="Arial"/>
          <w:sz w:val="28"/>
          <w:szCs w:val="28"/>
        </w:rPr>
        <w:t>MEDICAL/DENTAL OFFICES</w:t>
      </w:r>
    </w:p>
    <w:p w:rsidR="00DE4F81" w:rsidRDefault="00DE4F81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Knocked down, site assembled pre-finished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</w:t>
      </w:r>
      <w:r w:rsidR="0013555D">
        <w:rPr>
          <w:rFonts w:ascii="Arial" w:hAnsi="Arial"/>
        </w:rPr>
        <w:t xml:space="preserve">and </w:t>
      </w:r>
      <w:r>
        <w:rPr>
          <w:rFonts w:ascii="Arial" w:hAnsi="Arial"/>
        </w:rPr>
        <w:t>transom frames</w:t>
      </w:r>
    </w:p>
    <w:p w:rsidR="0091169D" w:rsidRPr="00E26152" w:rsidRDefault="0091169D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13555D">
        <w:rPr>
          <w:rFonts w:ascii="Arial" w:hAnsi="Arial"/>
        </w:rPr>
        <w:t>3</w:t>
      </w:r>
      <w:r>
        <w:rPr>
          <w:rFonts w:ascii="Arial" w:hAnsi="Arial"/>
        </w:rPr>
        <w:t xml:space="preserve">.  Lead </w:t>
      </w:r>
      <w:proofErr w:type="gramStart"/>
      <w:r>
        <w:rPr>
          <w:rFonts w:ascii="Arial" w:hAnsi="Arial"/>
        </w:rPr>
        <w:t>Lining</w:t>
      </w:r>
      <w:proofErr w:type="gramEnd"/>
      <w:r>
        <w:rPr>
          <w:rFonts w:ascii="Arial" w:hAnsi="Arial"/>
        </w:rPr>
        <w:t xml:space="preserve"> </w:t>
      </w:r>
      <w:r w:rsidR="0013555D">
        <w:rPr>
          <w:rFonts w:ascii="Arial" w:hAnsi="Arial"/>
        </w:rPr>
        <w:t xml:space="preserve">(if required) </w:t>
      </w:r>
      <w:r>
        <w:rPr>
          <w:rFonts w:ascii="Arial" w:hAnsi="Arial"/>
        </w:rPr>
        <w:t>of Knocked Down Frames not included in this section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13555D" w:rsidRDefault="00FA67F6" w:rsidP="00AB1DE4">
      <w:pPr>
        <w:pStyle w:val="Heading3"/>
        <w:rPr>
          <w:rFonts w:ascii="Arial" w:hAnsi="Arial"/>
        </w:rPr>
      </w:pPr>
      <w:r w:rsidRPr="0013555D">
        <w:rPr>
          <w:rFonts w:ascii="Arial" w:hAnsi="Arial"/>
        </w:rPr>
        <w:t>Section 08</w:t>
      </w:r>
      <w:r w:rsidR="00AB1DE4" w:rsidRPr="0013555D">
        <w:rPr>
          <w:rFonts w:ascii="Arial" w:hAnsi="Arial"/>
        </w:rPr>
        <w:t xml:space="preserve"> </w:t>
      </w:r>
      <w:r w:rsidRPr="0013555D">
        <w:rPr>
          <w:rFonts w:ascii="Arial" w:hAnsi="Arial"/>
        </w:rPr>
        <w:t>11</w:t>
      </w:r>
      <w:r w:rsidR="00AB1DE4" w:rsidRPr="0013555D">
        <w:rPr>
          <w:rFonts w:ascii="Arial" w:hAnsi="Arial"/>
        </w:rPr>
        <w:t xml:space="preserve"> 13</w:t>
      </w:r>
      <w:r w:rsidRPr="0013555D">
        <w:rPr>
          <w:rFonts w:ascii="Arial" w:hAnsi="Arial"/>
        </w:rPr>
        <w:t xml:space="preserve"> – </w:t>
      </w:r>
      <w:r w:rsidR="00AB1DE4" w:rsidRPr="0013555D">
        <w:rPr>
          <w:rFonts w:ascii="Arial" w:hAnsi="Arial"/>
        </w:rPr>
        <w:t>Hollow Metal</w:t>
      </w:r>
      <w:r w:rsidRPr="0013555D">
        <w:rPr>
          <w:rFonts w:ascii="Arial" w:hAnsi="Arial"/>
        </w:rPr>
        <w:t xml:space="preserve"> Doors</w:t>
      </w:r>
      <w:r w:rsidR="00AB1DE4" w:rsidRPr="0013555D">
        <w:rPr>
          <w:rFonts w:ascii="Arial" w:hAnsi="Arial"/>
        </w:rPr>
        <w:t xml:space="preserve"> and Frames</w:t>
      </w:r>
    </w:p>
    <w:p w:rsidR="00FA67F6" w:rsidRPr="0013555D" w:rsidRDefault="00FA67F6" w:rsidP="00AB1DE4">
      <w:pPr>
        <w:pStyle w:val="Heading3"/>
        <w:rPr>
          <w:rFonts w:ascii="Arial" w:hAnsi="Arial"/>
        </w:rPr>
      </w:pPr>
      <w:r w:rsidRPr="0013555D">
        <w:rPr>
          <w:rFonts w:ascii="Arial" w:hAnsi="Arial"/>
        </w:rPr>
        <w:t>Section 08</w:t>
      </w:r>
      <w:r w:rsidR="00AB1DE4" w:rsidRPr="0013555D">
        <w:rPr>
          <w:rFonts w:ascii="Arial" w:hAnsi="Arial"/>
        </w:rPr>
        <w:t xml:space="preserve"> </w:t>
      </w:r>
      <w:r w:rsidRPr="0013555D">
        <w:rPr>
          <w:rFonts w:ascii="Arial" w:hAnsi="Arial"/>
        </w:rPr>
        <w:t>12</w:t>
      </w:r>
      <w:r w:rsidR="00AB1DE4" w:rsidRPr="0013555D">
        <w:rPr>
          <w:rFonts w:ascii="Arial" w:hAnsi="Arial"/>
        </w:rPr>
        <w:t xml:space="preserve"> 16</w:t>
      </w:r>
      <w:r w:rsidRPr="0013555D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- 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FA67F6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DE14F2" w:rsidRPr="00E26152">
        <w:rPr>
          <w:rFonts w:ascii="Arial" w:hAnsi="Arial"/>
        </w:rPr>
        <w:t>ASTM A</w:t>
      </w:r>
      <w:r w:rsidR="00DE14F2">
        <w:rPr>
          <w:rFonts w:ascii="Arial" w:hAnsi="Arial"/>
        </w:rPr>
        <w:t xml:space="preserve">653 </w:t>
      </w:r>
      <w:r w:rsidR="00DE14F2" w:rsidRPr="00E26152">
        <w:rPr>
          <w:rFonts w:ascii="Arial" w:hAnsi="Arial"/>
        </w:rPr>
        <w:t xml:space="preserve">– Standard for </w:t>
      </w:r>
      <w:r w:rsidR="00DE14F2">
        <w:rPr>
          <w:rFonts w:ascii="Arial" w:hAnsi="Arial"/>
        </w:rPr>
        <w:t>hot dipped galvanized</w:t>
      </w:r>
      <w:r w:rsidR="00DE14F2"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  <w:r w:rsidR="00974EF6">
        <w:rPr>
          <w:rFonts w:ascii="Arial" w:hAnsi="Arial"/>
        </w:rPr>
        <w:t>.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B30914">
        <w:rPr>
          <w:rFonts w:ascii="Arial" w:hAnsi="Arial"/>
        </w:rPr>
        <w:t xml:space="preserve">material, gauge,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embosses, 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B01E88" w:rsidRDefault="00B01E88" w:rsidP="00B01E88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B01E88" w:rsidRDefault="00B01E88" w:rsidP="00B01E88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B01E88" w:rsidRDefault="00B01E88" w:rsidP="00B01E88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B01E88" w:rsidRPr="00E26152" w:rsidRDefault="00B01E88" w:rsidP="00B01E88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B01E88" w:rsidRPr="00E26152" w:rsidRDefault="00B01E88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FA67F6" w:rsidRPr="00E26152" w:rsidRDefault="00B741FC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</w:p>
    <w:p w:rsidR="00B01E88" w:rsidRDefault="00B01E88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pre-finished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340B5E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340B5E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340B5E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8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Frames:  Provide interior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FA67F6" w:rsidRPr="00E26152">
        <w:rPr>
          <w:rFonts w:ascii="Arial" w:hAnsi="Arial"/>
        </w:rPr>
        <w:t xml:space="preserve">frames </w:t>
      </w:r>
      <w:r w:rsidR="00CE0DD9">
        <w:rPr>
          <w:rFonts w:ascii="Arial" w:hAnsi="Arial"/>
        </w:rPr>
        <w:t xml:space="preserve">shown on drawings and door schedule.  </w:t>
      </w:r>
      <w:r w:rsidR="00CE0DD9">
        <w:rPr>
          <w:rFonts w:ascii="Arial" w:hAnsi="Arial"/>
        </w:rPr>
        <w:tab/>
      </w:r>
      <w:r w:rsidR="009B0DE5">
        <w:rPr>
          <w:rFonts w:ascii="Arial" w:hAnsi="Arial"/>
        </w:rPr>
        <w:t xml:space="preserve">Lead </w:t>
      </w:r>
      <w:r w:rsidR="009B0DE5">
        <w:rPr>
          <w:rFonts w:ascii="Arial" w:hAnsi="Arial"/>
        </w:rPr>
        <w:tab/>
        <w:t>Lin</w:t>
      </w:r>
      <w:r w:rsidR="0013555D">
        <w:rPr>
          <w:rFonts w:ascii="Arial" w:hAnsi="Arial"/>
        </w:rPr>
        <w:t xml:space="preserve">ing of </w:t>
      </w:r>
      <w:r w:rsidR="009B0DE5">
        <w:rPr>
          <w:rFonts w:ascii="Arial" w:hAnsi="Arial"/>
        </w:rPr>
        <w:t xml:space="preserve">frames in section </w:t>
      </w:r>
      <w:r w:rsidR="0013555D">
        <w:rPr>
          <w:rFonts w:ascii="Arial" w:hAnsi="Arial"/>
        </w:rPr>
        <w:t>(  )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01600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DE14F2" w:rsidRPr="00E26152" w:rsidRDefault="00DE14F2" w:rsidP="00DE14F2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atmospheric exposures</w:t>
      </w:r>
      <w:r w:rsidRPr="00E26152">
        <w:rPr>
          <w:rFonts w:ascii="Arial" w:hAnsi="Arial"/>
        </w:rPr>
        <w:t xml:space="preserve">. </w:t>
      </w:r>
    </w:p>
    <w:p w:rsidR="00DE14F2" w:rsidRPr="00E26152" w:rsidRDefault="00DE14F2" w:rsidP="00DE14F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for all frames used in the following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locations: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>1.  Exterior Locations</w:t>
      </w:r>
    </w:p>
    <w:p w:rsidR="009E69CE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 xml:space="preserve">2.  </w:t>
      </w:r>
      <w:r w:rsidR="007C7ADE">
        <w:rPr>
          <w:rFonts w:ascii="Arial" w:hAnsi="Arial"/>
        </w:rPr>
        <w:t>Public and Private Restrooms</w:t>
      </w:r>
    </w:p>
    <w:p w:rsidR="00683990" w:rsidRPr="00E26152" w:rsidRDefault="00683990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Areas subject to corrosive chemicals or high humidity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683990">
        <w:rPr>
          <w:rFonts w:ascii="Arial" w:hAnsi="Arial"/>
        </w:rPr>
        <w:t>4</w:t>
      </w:r>
      <w:r w:rsidRPr="00E26152">
        <w:rPr>
          <w:rFonts w:ascii="Arial" w:hAnsi="Arial"/>
        </w:rPr>
        <w:t xml:space="preserve">.  Coastal locations for both interior and exterior applications exposed to salt air </w:t>
      </w:r>
      <w:r w:rsidR="00930337">
        <w:rPr>
          <w:rFonts w:ascii="Arial" w:hAnsi="Arial"/>
        </w:rPr>
        <w:tab/>
        <w:t>or salt spray</w:t>
      </w:r>
      <w:r w:rsidR="00FD6F45">
        <w:rPr>
          <w:rFonts w:ascii="Arial" w:hAnsi="Arial"/>
        </w:rPr>
        <w:t xml:space="preserve"> within 10 miles of any ocean or salt water lake.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BE6B3B" w:rsidRPr="00E26152">
        <w:rPr>
          <w:rFonts w:ascii="Arial" w:hAnsi="Arial"/>
        </w:rPr>
        <w:t>Where shown, f</w:t>
      </w:r>
      <w:r w:rsidR="00FA67F6" w:rsidRPr="00E26152">
        <w:rPr>
          <w:rFonts w:ascii="Arial" w:hAnsi="Arial"/>
        </w:rPr>
        <w:t xml:space="preserve">ire rated frames to have kerf formed into frame profile for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installation of smoke gasket </w:t>
      </w:r>
      <w:r w:rsidR="009E69CE" w:rsidRPr="00E26152">
        <w:rPr>
          <w:rFonts w:ascii="Arial" w:hAnsi="Arial"/>
        </w:rPr>
        <w:t xml:space="preserve">or weatherstrip </w:t>
      </w:r>
      <w:r w:rsidR="00FA67F6" w:rsidRPr="00E26152">
        <w:rPr>
          <w:rFonts w:ascii="Arial" w:hAnsi="Arial"/>
        </w:rPr>
        <w:t>material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FA67F6" w:rsidRPr="00E26152" w:rsidRDefault="00340B5E" w:rsidP="00340B5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FA67F6" w:rsidRPr="00E26152">
        <w:rPr>
          <w:rFonts w:ascii="Arial" w:hAnsi="Arial"/>
        </w:rPr>
        <w:t>“S” Series, 0.9 mm (20 gage) thick</w:t>
      </w:r>
      <w:r w:rsidR="0009308D">
        <w:rPr>
          <w:rFonts w:ascii="Arial" w:hAnsi="Arial"/>
        </w:rPr>
        <w:t xml:space="preserve"> - office and patient room interior openings</w:t>
      </w:r>
    </w:p>
    <w:p w:rsidR="00930337" w:rsidRPr="00E26152" w:rsidRDefault="00340B5E" w:rsidP="00340B5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>“C” Series, 1.2 mm (18 gage) thick</w:t>
      </w:r>
      <w:r w:rsidR="0009308D">
        <w:rPr>
          <w:rFonts w:ascii="Arial" w:hAnsi="Arial"/>
        </w:rPr>
        <w:t>, non-standard walls</w:t>
      </w:r>
    </w:p>
    <w:p w:rsidR="00FA67F6" w:rsidRPr="00E26152" w:rsidRDefault="00340B5E" w:rsidP="00340B5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FA67F6" w:rsidRPr="00E26152">
        <w:rPr>
          <w:rFonts w:ascii="Arial" w:hAnsi="Arial"/>
        </w:rPr>
        <w:t xml:space="preserve">” Series, 1.2 mm (18 gage) thick, with kerf for </w:t>
      </w:r>
      <w:r w:rsidR="00BE6B3B" w:rsidRPr="00E26152">
        <w:rPr>
          <w:rFonts w:ascii="Arial" w:hAnsi="Arial"/>
        </w:rPr>
        <w:t>door seal/</w:t>
      </w:r>
      <w:r w:rsidR="00FA67F6" w:rsidRPr="00E26152">
        <w:rPr>
          <w:rFonts w:ascii="Arial" w:hAnsi="Arial"/>
        </w:rPr>
        <w:t>gasket</w:t>
      </w:r>
      <w:r w:rsidR="0009308D">
        <w:rPr>
          <w:rFonts w:ascii="Arial" w:hAnsi="Arial"/>
        </w:rPr>
        <w:t xml:space="preserve"> – fire rated, </w:t>
      </w:r>
      <w:r w:rsidR="009B0DE5">
        <w:rPr>
          <w:rFonts w:ascii="Arial" w:hAnsi="Arial"/>
        </w:rPr>
        <w:t>Exam room</w:t>
      </w:r>
      <w:r w:rsidR="0009308D">
        <w:rPr>
          <w:rFonts w:ascii="Arial" w:hAnsi="Arial"/>
        </w:rPr>
        <w:t xml:space="preserve"> entry, exterior openings </w:t>
      </w:r>
      <w:r w:rsidR="00FA67F6" w:rsidRPr="00E26152">
        <w:rPr>
          <w:rFonts w:ascii="Arial" w:hAnsi="Arial"/>
        </w:rPr>
        <w:t xml:space="preserve"> </w:t>
      </w:r>
    </w:p>
    <w:p w:rsidR="00FA67F6" w:rsidRPr="00E26152" w:rsidRDefault="007C7ADE" w:rsidP="00AB1DE4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</w:t>
      </w:r>
      <w:r w:rsidR="00FA67F6" w:rsidRPr="00E26152">
        <w:rPr>
          <w:rFonts w:ascii="Arial" w:hAnsi="Arial"/>
        </w:rPr>
        <w:t>.</w:t>
      </w:r>
      <w:r w:rsidR="00FA67F6" w:rsidRPr="00E26152">
        <w:rPr>
          <w:rFonts w:ascii="Arial" w:hAnsi="Arial"/>
        </w:rPr>
        <w:tab/>
        <w:t xml:space="preserve">Side Light Frames:  1.2 mm (18 </w:t>
      </w:r>
      <w:proofErr w:type="gramStart"/>
      <w:r w:rsidR="00FA67F6" w:rsidRPr="00E26152">
        <w:rPr>
          <w:rFonts w:ascii="Arial" w:hAnsi="Arial"/>
        </w:rPr>
        <w:t>gage</w:t>
      </w:r>
      <w:proofErr w:type="gramEnd"/>
      <w:r w:rsidR="00FA67F6" w:rsidRPr="00E26152">
        <w:rPr>
          <w:rFonts w:ascii="Arial" w:hAnsi="Arial"/>
        </w:rPr>
        <w:t>) Verify glass dimensions for fire rated sidelights and borrowed lights</w:t>
      </w:r>
      <w:r w:rsidR="0013555D">
        <w:rPr>
          <w:rFonts w:ascii="Arial" w:hAnsi="Arial"/>
        </w:rPr>
        <w:t>. Provide floor channel for bottom of full height sidelights</w:t>
      </w:r>
    </w:p>
    <w:p w:rsidR="00FA67F6" w:rsidRDefault="007C7ADE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C03804">
        <w:rPr>
          <w:rFonts w:ascii="Arial" w:hAnsi="Arial"/>
        </w:rPr>
        <w:t>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>1.  Provide steel</w:t>
      </w:r>
      <w:r w:rsidR="00D83651">
        <w:rPr>
          <w:rFonts w:ascii="Arial" w:hAnsi="Arial"/>
        </w:rPr>
        <w:t xml:space="preserve">, aluminum </w:t>
      </w:r>
      <w:r w:rsidRPr="00C03804">
        <w:rPr>
          <w:rFonts w:ascii="Arial" w:hAnsi="Arial"/>
        </w:rPr>
        <w:t>or PVC casings formed to be applied to heat treated</w:t>
      </w:r>
      <w:r w:rsidR="00CE0DD9">
        <w:rPr>
          <w:rFonts w:ascii="Arial" w:hAnsi="Arial"/>
        </w:rPr>
        <w:t xml:space="preserve"> </w:t>
      </w:r>
      <w:r w:rsidR="00D83651">
        <w:rPr>
          <w:rFonts w:ascii="Arial" w:hAnsi="Arial"/>
        </w:rPr>
        <w:tab/>
      </w:r>
      <w:r w:rsidRPr="00C03804">
        <w:rPr>
          <w:rFonts w:ascii="Arial" w:hAnsi="Arial"/>
        </w:rPr>
        <w:t>clips on</w:t>
      </w:r>
      <w:r w:rsidR="00D83651">
        <w:rPr>
          <w:rFonts w:ascii="Arial" w:hAnsi="Arial"/>
        </w:rPr>
        <w:t xml:space="preserve"> </w:t>
      </w:r>
      <w:r w:rsidRPr="00C03804">
        <w:rPr>
          <w:rFonts w:ascii="Arial" w:hAnsi="Arial"/>
        </w:rPr>
        <w:t>frame face after frame is anchored to wall</w:t>
      </w:r>
      <w:r w:rsidR="00D83651">
        <w:rPr>
          <w:rFonts w:ascii="Arial" w:hAnsi="Arial"/>
        </w:rPr>
        <w:t xml:space="preserve"> (Select from following)</w:t>
      </w:r>
    </w:p>
    <w:p w:rsidR="00FA67F6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2.  </w:t>
      </w:r>
      <w:r w:rsidR="00FA67F6" w:rsidRPr="00C03804">
        <w:rPr>
          <w:rFonts w:ascii="Arial" w:hAnsi="Arial"/>
        </w:rPr>
        <w:t xml:space="preserve">Standard Steel </w:t>
      </w:r>
      <w:r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TA-8 with 6 mm (1/4 inch) reveal, on steel</w:t>
      </w:r>
      <w:r>
        <w:rPr>
          <w:rFonts w:ascii="Arial" w:hAnsi="Arial"/>
        </w:rPr>
        <w:t xml:space="preserve">, </w:t>
      </w:r>
      <w:r w:rsidR="00FA67F6" w:rsidRPr="00C03804">
        <w:rPr>
          <w:rFonts w:ascii="Arial" w:hAnsi="Arial"/>
        </w:rPr>
        <w:t>stainless steel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  <w:t xml:space="preserve">and/or </w:t>
      </w:r>
      <w:r w:rsidR="00FA67F6" w:rsidRPr="00C03804">
        <w:rPr>
          <w:rFonts w:ascii="Arial" w:hAnsi="Arial"/>
        </w:rPr>
        <w:t xml:space="preserve">brass frames.  Fit factory assembled units with </w:t>
      </w:r>
      <w:proofErr w:type="spellStart"/>
      <w:r w:rsidR="00FA67F6" w:rsidRPr="00C03804">
        <w:rPr>
          <w:rFonts w:ascii="Arial" w:hAnsi="Arial"/>
        </w:rPr>
        <w:t>MiterGard</w:t>
      </w:r>
      <w:proofErr w:type="spellEnd"/>
      <w:r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FA67F6" w:rsidRPr="00C03804">
        <w:rPr>
          <w:rFonts w:ascii="Arial" w:hAnsi="Arial"/>
        </w:rPr>
        <w:t>alignment clips.</w:t>
      </w:r>
      <w:r w:rsidR="001E6702" w:rsidRPr="00C03804">
        <w:rPr>
          <w:rFonts w:ascii="Arial" w:hAnsi="Arial"/>
        </w:rPr>
        <w:t xml:space="preserve">  Provide TA-21(Floral design)</w:t>
      </w:r>
      <w:r w:rsidR="00BE6B3B" w:rsidRPr="00C03804">
        <w:rPr>
          <w:rFonts w:ascii="Arial" w:hAnsi="Arial"/>
        </w:rPr>
        <w:t xml:space="preserve"> or TA-22</w:t>
      </w:r>
      <w:r w:rsidR="001E6702" w:rsidRPr="00C03804">
        <w:rPr>
          <w:rFonts w:ascii="Arial" w:hAnsi="Arial"/>
        </w:rPr>
        <w:t xml:space="preserve"> (Saturn design)</w:t>
      </w:r>
      <w:r>
        <w:rPr>
          <w:rFonts w:ascii="Arial" w:hAnsi="Arial"/>
        </w:rPr>
        <w:t xml:space="preserve"> </w:t>
      </w:r>
      <w:r w:rsidR="00BE6B3B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BE6B3B" w:rsidRPr="00C03804">
        <w:rPr>
          <w:rFonts w:ascii="Arial" w:hAnsi="Arial"/>
        </w:rPr>
        <w:t xml:space="preserve">rosettes </w:t>
      </w:r>
      <w:r w:rsidR="0013555D">
        <w:rPr>
          <w:rFonts w:ascii="Arial" w:hAnsi="Arial"/>
        </w:rPr>
        <w:t>(</w:t>
      </w:r>
      <w:r w:rsidR="00BE6B3B" w:rsidRPr="00C03804">
        <w:rPr>
          <w:rFonts w:ascii="Arial" w:hAnsi="Arial"/>
        </w:rPr>
        <w:t xml:space="preserve">if </w:t>
      </w:r>
      <w:r w:rsidR="0013555D">
        <w:rPr>
          <w:rFonts w:ascii="Arial" w:hAnsi="Arial"/>
        </w:rPr>
        <w:t>requested)</w:t>
      </w:r>
      <w:r>
        <w:rPr>
          <w:rFonts w:ascii="Arial" w:hAnsi="Arial"/>
        </w:rPr>
        <w:t>.</w:t>
      </w:r>
    </w:p>
    <w:p w:rsidR="009B0DE5" w:rsidRDefault="009B0DE5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Aluminum – TA-23 1 ½” width with ¼” reveal.  Provide TA-</w:t>
      </w:r>
      <w:r w:rsidR="00340B5E">
        <w:rPr>
          <w:rFonts w:ascii="Arial" w:hAnsi="Arial"/>
        </w:rPr>
        <w:t>24</w:t>
      </w:r>
      <w:r>
        <w:rPr>
          <w:rFonts w:ascii="Arial" w:hAnsi="Arial"/>
        </w:rPr>
        <w:t xml:space="preserve"> casing corners</w:t>
      </w:r>
    </w:p>
    <w:p w:rsidR="009B0DE5" w:rsidRDefault="009B0DE5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4.  Aluminum – TA-28 1 ¾” width with no reveal for flush face appearance.  </w:t>
      </w:r>
      <w:r>
        <w:rPr>
          <w:rFonts w:ascii="Arial" w:hAnsi="Arial"/>
        </w:rPr>
        <w:tab/>
        <w:t xml:space="preserve">Factory notch casing for 4 ½” hinges and ASA 4 7/8” strikes as required.  </w:t>
      </w:r>
      <w:r>
        <w:rPr>
          <w:rFonts w:ascii="Arial" w:hAnsi="Arial"/>
        </w:rPr>
        <w:tab/>
        <w:t>Provide TA-</w:t>
      </w:r>
      <w:r w:rsidR="00340B5E">
        <w:rPr>
          <w:rFonts w:ascii="Arial" w:hAnsi="Arial"/>
        </w:rPr>
        <w:t>24</w:t>
      </w:r>
      <w:r>
        <w:rPr>
          <w:rFonts w:ascii="Arial" w:hAnsi="Arial"/>
        </w:rPr>
        <w:t xml:space="preserve"> casing corners</w:t>
      </w:r>
    </w:p>
    <w:p w:rsidR="00FA67F6" w:rsidRPr="00236EBC" w:rsidRDefault="00C03804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</w:r>
      <w:r w:rsidR="00D657EF">
        <w:rPr>
          <w:rFonts w:ascii="Arial" w:hAnsi="Arial"/>
        </w:rPr>
        <w:t>5</w:t>
      </w:r>
      <w:r w:rsidR="00236EBC" w:rsidRPr="00236EBC">
        <w:rPr>
          <w:rFonts w:ascii="Arial" w:hAnsi="Arial"/>
        </w:rPr>
        <w:t xml:space="preserve">.  </w:t>
      </w:r>
      <w:r w:rsidR="00FA67F6" w:rsidRPr="00236EBC">
        <w:rPr>
          <w:rFonts w:ascii="Arial" w:hAnsi="Arial"/>
        </w:rPr>
        <w:t>Wood</w:t>
      </w:r>
      <w:r w:rsidR="00236EBC" w:rsidRPr="00236EBC">
        <w:rPr>
          <w:rFonts w:ascii="Arial" w:hAnsi="Arial"/>
        </w:rPr>
        <w:t xml:space="preserve"> (Provided by Others) </w:t>
      </w:r>
      <w:proofErr w:type="gramStart"/>
      <w:r w:rsidR="00236EBC" w:rsidRPr="00236EBC">
        <w:rPr>
          <w:rFonts w:ascii="Arial" w:hAnsi="Arial"/>
        </w:rPr>
        <w:t xml:space="preserve">- </w:t>
      </w:r>
      <w:r w:rsidR="00FA67F6" w:rsidRPr="00236EBC">
        <w:rPr>
          <w:rFonts w:ascii="Arial" w:hAnsi="Arial"/>
        </w:rPr>
        <w:t xml:space="preserve"> Refer</w:t>
      </w:r>
      <w:proofErr w:type="gramEnd"/>
      <w:r w:rsidR="00FA67F6" w:rsidRPr="00236EBC">
        <w:rPr>
          <w:rFonts w:ascii="Arial" w:hAnsi="Arial"/>
        </w:rPr>
        <w:t xml:space="preserve"> to Section 06</w:t>
      </w:r>
      <w:r w:rsidR="00340B5E">
        <w:rPr>
          <w:rFonts w:ascii="Arial" w:hAnsi="Arial"/>
        </w:rPr>
        <w:t xml:space="preserve"> </w:t>
      </w:r>
      <w:r w:rsidR="00FA67F6" w:rsidRPr="00236EBC">
        <w:rPr>
          <w:rFonts w:ascii="Arial" w:hAnsi="Arial"/>
        </w:rPr>
        <w:t>40</w:t>
      </w:r>
      <w:r w:rsidR="00340B5E">
        <w:rPr>
          <w:rFonts w:ascii="Arial" w:hAnsi="Arial"/>
        </w:rPr>
        <w:t xml:space="preserve"> 0</w:t>
      </w:r>
      <w:r w:rsidR="00FA67F6" w:rsidRPr="00236EBC">
        <w:rPr>
          <w:rFonts w:ascii="Arial" w:hAnsi="Arial"/>
        </w:rPr>
        <w:t xml:space="preserve">0 - Architectural </w:t>
      </w:r>
      <w:r w:rsidR="00236EBC">
        <w:rPr>
          <w:rFonts w:ascii="Arial" w:hAnsi="Arial"/>
        </w:rPr>
        <w:tab/>
      </w:r>
      <w:r w:rsidR="00FA67F6" w:rsidRPr="00236EBC">
        <w:rPr>
          <w:rFonts w:ascii="Arial" w:hAnsi="Arial"/>
        </w:rPr>
        <w:t>Woodwork</w:t>
      </w:r>
      <w:r w:rsidR="00236EBC">
        <w:rPr>
          <w:rFonts w:ascii="Arial" w:hAnsi="Arial"/>
        </w:rPr>
        <w:t>.</w:t>
      </w:r>
      <w:r w:rsidR="00E00941" w:rsidRPr="00236EBC">
        <w:rPr>
          <w:rFonts w:ascii="Arial" w:hAnsi="Arial"/>
        </w:rPr>
        <w:t xml:space="preserve">  Provide frames with nail holes and oval slots only.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2.03</w:t>
      </w:r>
      <w:r w:rsidRPr="001E6702">
        <w:rPr>
          <w:rFonts w:ascii="Arial" w:hAnsi="Arial"/>
          <w:sz w:val="24"/>
          <w:szCs w:val="24"/>
        </w:rPr>
        <w:tab/>
        <w:t xml:space="preserve">Frame Reinforcement and </w:t>
      </w:r>
      <w:r w:rsidR="00FA67F6" w:rsidRPr="001E6702">
        <w:rPr>
          <w:rFonts w:ascii="Arial" w:hAnsi="Arial"/>
          <w:sz w:val="24"/>
          <w:szCs w:val="24"/>
        </w:rPr>
        <w:t>A</w:t>
      </w:r>
      <w:r w:rsidRPr="001E6702">
        <w:rPr>
          <w:rFonts w:ascii="Arial" w:hAnsi="Arial"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TA-</w:t>
      </w:r>
      <w:proofErr w:type="gramStart"/>
      <w:r>
        <w:rPr>
          <w:rFonts w:ascii="Arial" w:hAnsi="Arial"/>
        </w:rPr>
        <w:t xml:space="preserve">10 </w:t>
      </w:r>
      <w:r w:rsidR="00621692">
        <w:rPr>
          <w:rFonts w:ascii="Arial" w:hAnsi="Arial"/>
        </w:rPr>
        <w:t xml:space="preserve"> -</w:t>
      </w:r>
      <w:proofErr w:type="gramEnd"/>
      <w:r w:rsidR="00621692">
        <w:rPr>
          <w:rFonts w:ascii="Arial" w:hAnsi="Arial"/>
        </w:rPr>
        <w:t xml:space="preserve"> </w:t>
      </w:r>
      <w:r>
        <w:rPr>
          <w:rFonts w:ascii="Arial" w:hAnsi="Arial"/>
        </w:rPr>
        <w:t>Regular arm closers, casing mounted coordinators</w:t>
      </w:r>
    </w:p>
    <w:p w:rsidR="00621692" w:rsidRDefault="00621692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TA-</w:t>
      </w:r>
      <w:proofErr w:type="gramStart"/>
      <w:r>
        <w:rPr>
          <w:rFonts w:ascii="Arial" w:hAnsi="Arial"/>
        </w:rPr>
        <w:t>10A  -</w:t>
      </w:r>
      <w:proofErr w:type="gramEnd"/>
      <w:r>
        <w:rPr>
          <w:rFonts w:ascii="Arial" w:hAnsi="Arial"/>
        </w:rPr>
        <w:t xml:space="preserve"> Same as TA-10 but used with TA-35 PVC Casing </w:t>
      </w:r>
    </w:p>
    <w:p w:rsidR="00FA67F6" w:rsidRDefault="00340B5E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ab/>
        <w:t>3</w:t>
      </w:r>
      <w:r w:rsidR="00236EBC">
        <w:rPr>
          <w:rFonts w:ascii="Arial" w:hAnsi="Arial"/>
        </w:rPr>
        <w:t xml:space="preserve">.  TA-12 </w:t>
      </w:r>
      <w:r w:rsidR="00621692">
        <w:rPr>
          <w:rFonts w:ascii="Arial" w:hAnsi="Arial"/>
        </w:rPr>
        <w:t xml:space="preserve">- </w:t>
      </w:r>
      <w:r w:rsidR="00236EBC">
        <w:rPr>
          <w:rFonts w:ascii="Arial" w:hAnsi="Arial"/>
        </w:rPr>
        <w:t xml:space="preserve">Parallel arm closers, Rim Exit device strikes, other stop mounted </w:t>
      </w:r>
      <w:r w:rsidR="00236EBC">
        <w:rPr>
          <w:rFonts w:ascii="Arial" w:hAnsi="Arial"/>
        </w:rPr>
        <w:tab/>
        <w:t>surface hardware</w:t>
      </w:r>
    </w:p>
    <w:p w:rsidR="00340B5E" w:rsidRDefault="00340B5E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4.  TA-</w:t>
      </w:r>
      <w:r w:rsidR="008817DA">
        <w:rPr>
          <w:rFonts w:ascii="Arial" w:hAnsi="Arial"/>
        </w:rPr>
        <w:t>47</w:t>
      </w:r>
      <w:r>
        <w:rPr>
          <w:rFonts w:ascii="Arial" w:hAnsi="Arial"/>
        </w:rPr>
        <w:t xml:space="preserve"> – For CK frame, Parallel arm closers, Rim Exit device strikes, other </w:t>
      </w:r>
      <w:r>
        <w:rPr>
          <w:rFonts w:ascii="Arial" w:hAnsi="Arial"/>
        </w:rPr>
        <w:tab/>
        <w:t>stop mounted surface hardware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340B5E">
        <w:rPr>
          <w:rFonts w:ascii="Arial" w:hAnsi="Arial"/>
        </w:rPr>
        <w:t>5</w:t>
      </w:r>
      <w:r>
        <w:rPr>
          <w:rFonts w:ascii="Arial" w:hAnsi="Arial"/>
        </w:rPr>
        <w:t xml:space="preserve">.  TA-25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Double acting spring hinges, continuous hinges, other </w:t>
      </w:r>
      <w:r w:rsidR="00621692">
        <w:rPr>
          <w:rFonts w:ascii="Arial" w:hAnsi="Arial"/>
        </w:rPr>
        <w:t xml:space="preserve">surface </w:t>
      </w:r>
      <w:r w:rsidR="00621692">
        <w:rPr>
          <w:rFonts w:ascii="Arial" w:hAnsi="Arial"/>
        </w:rPr>
        <w:tab/>
        <w:t>mounted hardware on door rabbet or cased opening frame</w:t>
      </w:r>
    </w:p>
    <w:p w:rsidR="00B400E9" w:rsidRPr="00E26152" w:rsidRDefault="00340B5E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6</w:t>
      </w:r>
      <w:r w:rsidR="00B400E9">
        <w:rPr>
          <w:rFonts w:ascii="Arial" w:hAnsi="Arial"/>
        </w:rPr>
        <w:t xml:space="preserve">.  Provide hinge reinforcement (TA-11) of 14 gage steel pierced to create </w:t>
      </w:r>
      <w:r w:rsidR="00B400E9">
        <w:rPr>
          <w:rFonts w:ascii="Arial" w:hAnsi="Arial"/>
        </w:rPr>
        <w:tab/>
        <w:t xml:space="preserve">depth of thread </w:t>
      </w:r>
      <w:r w:rsidR="00CF661A">
        <w:rPr>
          <w:rFonts w:ascii="Arial" w:hAnsi="Arial"/>
        </w:rPr>
        <w:t xml:space="preserve">for hinge screws </w:t>
      </w:r>
      <w:r w:rsidR="00B400E9">
        <w:rPr>
          <w:rFonts w:ascii="Arial" w:hAnsi="Arial"/>
        </w:rPr>
        <w:t xml:space="preserve">equal to or exceeding </w:t>
      </w:r>
      <w:r w:rsidR="008817DA">
        <w:rPr>
          <w:rFonts w:ascii="Arial" w:hAnsi="Arial"/>
        </w:rPr>
        <w:t>7</w:t>
      </w:r>
      <w:r w:rsidR="00B400E9">
        <w:rPr>
          <w:rFonts w:ascii="Arial" w:hAnsi="Arial"/>
        </w:rPr>
        <w:t xml:space="preserve"> </w:t>
      </w:r>
      <w:proofErr w:type="gramStart"/>
      <w:r w:rsidR="00B400E9">
        <w:rPr>
          <w:rFonts w:ascii="Arial" w:hAnsi="Arial"/>
        </w:rPr>
        <w:t>gage</w:t>
      </w:r>
      <w:proofErr w:type="gramEnd"/>
      <w:r w:rsidR="00B400E9">
        <w:rPr>
          <w:rFonts w:ascii="Arial" w:hAnsi="Arial"/>
        </w:rPr>
        <w:t xml:space="preserve"> steel.</w:t>
      </w:r>
    </w:p>
    <w:p w:rsidR="008817DA" w:rsidRPr="00E26152" w:rsidRDefault="00621692" w:rsidP="008817DA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Weatherstrip/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</w:t>
      </w:r>
      <w:r w:rsidR="00C478EF" w:rsidRPr="00E26152">
        <w:rPr>
          <w:rFonts w:ascii="Arial" w:hAnsi="Arial"/>
        </w:rPr>
        <w:t>90 minute rated gasket for</w:t>
      </w:r>
      <w:r w:rsidR="0013555D">
        <w:rPr>
          <w:rFonts w:ascii="Arial" w:hAnsi="Arial"/>
        </w:rPr>
        <w:t xml:space="preserve"> </w:t>
      </w:r>
      <w:r w:rsidR="00C478EF" w:rsidRPr="00E26152">
        <w:rPr>
          <w:rFonts w:ascii="Arial" w:hAnsi="Arial"/>
        </w:rPr>
        <w:t>kerfed frames</w:t>
      </w:r>
      <w:r>
        <w:rPr>
          <w:rFonts w:ascii="Arial" w:hAnsi="Arial"/>
        </w:rPr>
        <w:t xml:space="preserve">.  Provide </w:t>
      </w:r>
      <w:r w:rsidR="00CE0DD9">
        <w:rPr>
          <w:rFonts w:ascii="Arial" w:hAnsi="Arial"/>
        </w:rPr>
        <w:t>for all CK Series</w:t>
      </w:r>
      <w:r>
        <w:rPr>
          <w:rFonts w:ascii="Arial" w:hAnsi="Arial"/>
        </w:rPr>
        <w:t xml:space="preserve"> frames with </w:t>
      </w:r>
      <w:r w:rsidR="00E00941" w:rsidRPr="00E26152">
        <w:rPr>
          <w:rFonts w:ascii="Arial" w:hAnsi="Arial"/>
        </w:rPr>
        <w:t>factory installed</w:t>
      </w:r>
      <w:r>
        <w:rPr>
          <w:rFonts w:ascii="Arial" w:hAnsi="Arial"/>
        </w:rPr>
        <w:t xml:space="preserve"> </w:t>
      </w:r>
      <w:r w:rsidR="00CE0DD9">
        <w:rPr>
          <w:rFonts w:ascii="Arial" w:hAnsi="Arial"/>
        </w:rPr>
        <w:t>gasket</w:t>
      </w:r>
      <w:r w:rsidR="006770F9" w:rsidRPr="00E26152">
        <w:rPr>
          <w:rFonts w:ascii="Arial" w:hAnsi="Arial"/>
        </w:rPr>
        <w:t>.</w:t>
      </w:r>
      <w:r w:rsidR="00CE0DD9">
        <w:rPr>
          <w:rFonts w:ascii="Arial" w:hAnsi="Arial"/>
        </w:rPr>
        <w:t xml:space="preserve"> Provide</w:t>
      </w:r>
      <w:r w:rsidR="0013555D">
        <w:rPr>
          <w:rFonts w:ascii="Arial" w:hAnsi="Arial"/>
        </w:rPr>
        <w:t xml:space="preserve"> m</w:t>
      </w:r>
      <w:r w:rsidR="00CE0DD9">
        <w:rPr>
          <w:rFonts w:ascii="Arial" w:hAnsi="Arial"/>
        </w:rPr>
        <w:t>anufacturer’s standard colors to closely match frame color.  (Custom colors not available on TA-46)</w:t>
      </w:r>
      <w:r w:rsidR="008817DA" w:rsidRPr="008817DA">
        <w:rPr>
          <w:rFonts w:ascii="Arial" w:hAnsi="Arial"/>
        </w:rPr>
        <w:t xml:space="preserve"> </w:t>
      </w:r>
      <w:r w:rsidR="008817DA">
        <w:rPr>
          <w:rFonts w:ascii="Arial" w:hAnsi="Arial"/>
        </w:rPr>
        <w:t>Provide TA-46I gasket with intumescent material when using category B doors.</w:t>
      </w:r>
    </w:p>
    <w:p w:rsidR="00FA67F6" w:rsidRPr="00E26152" w:rsidRDefault="008817DA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</w:t>
      </w:r>
      <w:r w:rsidR="00621692">
        <w:rPr>
          <w:rFonts w:ascii="Arial" w:hAnsi="Arial"/>
        </w:rPr>
        <w:t>.</w:t>
      </w:r>
      <w:r w:rsidR="00621692"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 w:rsidR="00621692">
        <w:rPr>
          <w:rFonts w:ascii="Arial" w:hAnsi="Arial"/>
        </w:rPr>
        <w:t>TA-5 v</w:t>
      </w:r>
      <w:r w:rsidR="00FA67F6" w:rsidRPr="00E26152">
        <w:rPr>
          <w:rFonts w:ascii="Arial" w:hAnsi="Arial"/>
        </w:rPr>
        <w:t xml:space="preserve">inyl, clear stick-on type. Silencers not required </w:t>
      </w:r>
      <w:r w:rsidR="00621692">
        <w:rPr>
          <w:rFonts w:ascii="Arial" w:hAnsi="Arial"/>
        </w:rPr>
        <w:t xml:space="preserve">on Kerfed </w:t>
      </w:r>
      <w:r w:rsidR="00621692">
        <w:rPr>
          <w:rFonts w:ascii="Arial" w:hAnsi="Arial"/>
        </w:rPr>
        <w:tab/>
        <w:t>frames or frames schedule</w:t>
      </w:r>
      <w:r w:rsidR="0013555D">
        <w:rPr>
          <w:rFonts w:ascii="Arial" w:hAnsi="Arial"/>
        </w:rPr>
        <w:t>d</w:t>
      </w:r>
      <w:r w:rsidR="00621692">
        <w:rPr>
          <w:rFonts w:ascii="Arial" w:hAnsi="Arial"/>
        </w:rPr>
        <w:t xml:space="preserve"> to receive stop mounted gasket or weatherstrip</w:t>
      </w:r>
    </w:p>
    <w:p w:rsidR="00FA67F6" w:rsidRPr="00E26152" w:rsidRDefault="008817DA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 w:rsidR="007C7ADE"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r w:rsidR="00621692">
        <w:rPr>
          <w:rFonts w:ascii="Arial" w:hAnsi="Arial"/>
        </w:rPr>
        <w:t xml:space="preserve">tek </w:t>
      </w:r>
      <w:r w:rsidR="006770F9" w:rsidRPr="00E26152">
        <w:rPr>
          <w:rFonts w:ascii="Arial" w:hAnsi="Arial"/>
        </w:rPr>
        <w:t xml:space="preserve">screws.  Provide stop with fastener location not </w:t>
      </w:r>
      <w:r w:rsidR="007C7ADE">
        <w:rPr>
          <w:rFonts w:ascii="Arial" w:hAnsi="Arial"/>
        </w:rPr>
        <w:tab/>
      </w:r>
      <w:r w:rsidR="006770F9" w:rsidRPr="00E26152">
        <w:rPr>
          <w:rFonts w:ascii="Arial" w:hAnsi="Arial"/>
        </w:rPr>
        <w:t>more than 2” from end for all fire rated glazed openings.</w:t>
      </w:r>
    </w:p>
    <w:p w:rsidR="00FA67F6" w:rsidRPr="00E26152" w:rsidRDefault="008817DA" w:rsidP="008817DA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E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>:  Emboss frames for TA-1 strike for cylindrical lock.  Provide 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>.  (</w:t>
      </w:r>
      <w:r>
        <w:rPr>
          <w:rFonts w:ascii="Arial" w:hAnsi="Arial"/>
        </w:rPr>
        <w:t>ANSI 2-3/4” T s</w:t>
      </w:r>
      <w:r w:rsidR="00B400E9">
        <w:rPr>
          <w:rFonts w:ascii="Arial" w:hAnsi="Arial"/>
        </w:rPr>
        <w:t>trike supplied with</w:t>
      </w:r>
      <w:r>
        <w:rPr>
          <w:rFonts w:ascii="Arial" w:hAnsi="Arial"/>
        </w:rPr>
        <w:t xml:space="preserve"> </w:t>
      </w:r>
      <w:r w:rsidR="00B400E9">
        <w:rPr>
          <w:rFonts w:ascii="Arial" w:hAnsi="Arial"/>
        </w:rPr>
        <w:t>cylindrical lock cannot be used with standard frame because of unique strike</w:t>
      </w:r>
      <w:r>
        <w:rPr>
          <w:rFonts w:ascii="Arial" w:hAnsi="Arial"/>
        </w:rPr>
        <w:t xml:space="preserve"> l</w:t>
      </w:r>
      <w:r w:rsidR="00B400E9">
        <w:rPr>
          <w:rFonts w:ascii="Arial" w:hAnsi="Arial"/>
        </w:rPr>
        <w:t>ocation and screw piercing method)</w:t>
      </w:r>
    </w:p>
    <w:p w:rsidR="003E7115" w:rsidRPr="00E26152" w:rsidRDefault="008817DA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¼” 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13555D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621BB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55D" w:rsidRPr="001E6702" w:rsidRDefault="0013555D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" stroked="f" strokecolor="red">
                <v:textbox>
                  <w:txbxContent>
                    <w:p w:rsidR="0013555D" w:rsidRPr="001E6702" w:rsidRDefault="0013555D" w:rsidP="001E6702"/>
                  </w:txbxContent>
                </v:textbox>
              </v:shape>
            </w:pict>
          </mc:Fallback>
        </mc:AlternateContent>
      </w:r>
      <w:r w:rsidR="007C7ADE">
        <w:rPr>
          <w:rFonts w:ascii="Arial" w:hAnsi="Arial"/>
        </w:rPr>
        <w:t>1.</w:t>
      </w:r>
      <w:r w:rsidR="00340B5E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Interior Frames: #6 Drywall type </w:t>
      </w:r>
      <w:proofErr w:type="gramStart"/>
      <w:r w:rsidR="00FA67F6" w:rsidRPr="00E26152">
        <w:rPr>
          <w:rFonts w:ascii="Arial" w:hAnsi="Arial"/>
        </w:rPr>
        <w:t>length</w:t>
      </w:r>
      <w:proofErr w:type="gramEnd"/>
      <w:r w:rsidR="00FA67F6" w:rsidRPr="00E26152">
        <w:rPr>
          <w:rFonts w:ascii="Arial" w:hAnsi="Arial"/>
        </w:rPr>
        <w:t xml:space="preserve"> sufficient to penetrate studs </w:t>
      </w:r>
      <w:r w:rsidR="00B400E9">
        <w:rPr>
          <w:rFonts w:ascii="Arial" w:hAnsi="Arial"/>
        </w:rPr>
        <w:t xml:space="preserve">or structure </w:t>
      </w:r>
      <w:r w:rsidR="00FA67F6" w:rsidRPr="00E26152">
        <w:rPr>
          <w:rFonts w:ascii="Arial" w:hAnsi="Arial"/>
        </w:rPr>
        <w:t>at least ½”.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340B5E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 xml:space="preserve">pe, corrosion resistant coating, same as </w:t>
      </w:r>
      <w:r w:rsidR="00FD6F45">
        <w:rPr>
          <w:rFonts w:ascii="Arial" w:hAnsi="Arial"/>
        </w:rPr>
        <w:t>G</w:t>
      </w:r>
      <w:r w:rsidR="00B400E9">
        <w:rPr>
          <w:rFonts w:ascii="Arial" w:hAnsi="Arial"/>
        </w:rPr>
        <w:t>.1 above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weatherstrip</w:t>
      </w:r>
    </w:p>
    <w:p w:rsidR="00FA67F6" w:rsidRPr="00E26152" w:rsidRDefault="00B400E9" w:rsidP="0013555D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minimum 14 gage hinge reinforcement plate.  Hinge </w:t>
      </w:r>
      <w:r w:rsidR="0013555D">
        <w:rPr>
          <w:rFonts w:ascii="Arial" w:hAnsi="Arial"/>
        </w:rPr>
        <w:t xml:space="preserve">reinforcement </w:t>
      </w:r>
      <w:r w:rsidR="00FA67F6" w:rsidRPr="00E26152">
        <w:rPr>
          <w:rFonts w:ascii="Arial" w:hAnsi="Arial"/>
        </w:rPr>
        <w:t>plate to be mechanically attached to hinge</w:t>
      </w:r>
      <w:r w:rsidR="0013555D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Attachment clips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may not be of same material as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8817DA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channel for ceiling height units</w:t>
      </w:r>
      <w:r w:rsidR="0013555D">
        <w:rPr>
          <w:rFonts w:ascii="Arial" w:hAnsi="Arial"/>
        </w:rPr>
        <w:t xml:space="preserve"> if required</w:t>
      </w:r>
      <w:r w:rsidR="00FA67F6" w:rsidRPr="00E26152">
        <w:rPr>
          <w:rFonts w:ascii="Arial" w:hAnsi="Arial"/>
        </w:rPr>
        <w:t>.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structural support (by others) for ceiling insert channel</w:t>
      </w:r>
      <w:r>
        <w:rPr>
          <w:rFonts w:ascii="Arial" w:hAnsi="Arial"/>
        </w:rPr>
        <w:t xml:space="preserve"> for </w:t>
      </w:r>
      <w:r>
        <w:rPr>
          <w:rFonts w:ascii="Arial" w:hAnsi="Arial"/>
        </w:rPr>
        <w:tab/>
        <w:t>ceiling height 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Transoms bars fixed type with same profiles as jamb and head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Primed frames to have 90 minute fire label embossed into frame </w:t>
      </w:r>
      <w:r w:rsidR="00C478EF" w:rsidRPr="00E26152">
        <w:rPr>
          <w:rFonts w:ascii="Arial" w:hAnsi="Arial"/>
        </w:rPr>
        <w:t xml:space="preserve">in </w:t>
      </w:r>
      <w:r w:rsidR="00FA67F6" w:rsidRPr="00E26152">
        <w:rPr>
          <w:rFonts w:ascii="Arial" w:hAnsi="Arial"/>
        </w:rPr>
        <w:t xml:space="preserve">lieu of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label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M.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Factory install </w:t>
      </w:r>
      <w:r w:rsidR="0047255A" w:rsidRPr="00E26152">
        <w:rPr>
          <w:rFonts w:ascii="Arial" w:hAnsi="Arial"/>
        </w:rPr>
        <w:t xml:space="preserve">TA-46 </w:t>
      </w:r>
      <w:r w:rsidR="00C478EF" w:rsidRPr="00E26152">
        <w:rPr>
          <w:rFonts w:ascii="Arial" w:hAnsi="Arial"/>
        </w:rPr>
        <w:t xml:space="preserve">smoke gasket </w:t>
      </w:r>
      <w:r w:rsidR="0047255A" w:rsidRPr="00E26152">
        <w:rPr>
          <w:rFonts w:ascii="Arial" w:hAnsi="Arial"/>
        </w:rPr>
        <w:t xml:space="preserve">on </w:t>
      </w:r>
      <w:r w:rsidR="00C478EF" w:rsidRPr="00E26152">
        <w:rPr>
          <w:rFonts w:ascii="Arial" w:hAnsi="Arial"/>
        </w:rPr>
        <w:t xml:space="preserve">all pre-finished, CK </w:t>
      </w:r>
      <w:r w:rsidR="0047255A" w:rsidRPr="00E26152">
        <w:rPr>
          <w:rFonts w:ascii="Arial" w:hAnsi="Arial"/>
        </w:rPr>
        <w:t xml:space="preserve">series </w:t>
      </w:r>
      <w:r w:rsidR="00C478EF" w:rsidRPr="00E26152">
        <w:rPr>
          <w:rFonts w:ascii="Arial" w:hAnsi="Arial"/>
        </w:rPr>
        <w:t xml:space="preserve">frames.  Install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with </w:t>
      </w:r>
      <w:r w:rsidR="0047255A" w:rsidRPr="00E26152">
        <w:rPr>
          <w:rFonts w:ascii="Arial" w:hAnsi="Arial"/>
        </w:rPr>
        <w:t xml:space="preserve">factory </w:t>
      </w:r>
      <w:r w:rsidR="00C478EF" w:rsidRPr="00E26152">
        <w:rPr>
          <w:rFonts w:ascii="Arial" w:hAnsi="Arial"/>
        </w:rPr>
        <w:t>mitered corners to ensure adequate seal and pleasing appearance</w:t>
      </w:r>
    </w:p>
    <w:p w:rsidR="009B0DE5" w:rsidRPr="00E26152" w:rsidRDefault="009B0DE5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N.</w:t>
      </w:r>
      <w:r>
        <w:rPr>
          <w:rFonts w:ascii="Arial" w:hAnsi="Arial"/>
        </w:rPr>
        <w:tab/>
        <w:t xml:space="preserve">Provide Casing for hollow metal lead lined frames.  Furnish with TA-18 casing </w:t>
      </w:r>
      <w:r>
        <w:rPr>
          <w:rFonts w:ascii="Arial" w:hAnsi="Arial"/>
        </w:rPr>
        <w:tab/>
        <w:t xml:space="preserve">attachment clips.  Apply casing after frames are finished to match color of </w:t>
      </w:r>
      <w:r>
        <w:rPr>
          <w:rFonts w:ascii="Arial" w:hAnsi="Arial"/>
        </w:rPr>
        <w:tab/>
        <w:t xml:space="preserve">frames of this section 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Pr="0016739A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EC3E7A" w:rsidRPr="00E26152" w:rsidRDefault="00EC3E7A" w:rsidP="00EC3E7A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Units:  Pre-finished with factory applied impact resistant, </w:t>
      </w:r>
      <w:r>
        <w:rPr>
          <w:rFonts w:ascii="Arial" w:hAnsi="Arial"/>
        </w:rPr>
        <w:t xml:space="preserve">polyurethane </w:t>
      </w:r>
      <w:r w:rsidRPr="00E26152">
        <w:rPr>
          <w:rFonts w:ascii="Arial" w:hAnsi="Arial"/>
        </w:rPr>
        <w:t xml:space="preserve">baked </w:t>
      </w:r>
      <w:r>
        <w:rPr>
          <w:rFonts w:ascii="Arial" w:hAnsi="Arial"/>
        </w:rPr>
        <w:t>enamel finish or optional electrostatic applied water based paint system</w:t>
      </w:r>
    </w:p>
    <w:p w:rsidR="00FA67F6" w:rsidRPr="00E26152" w:rsidRDefault="00EC3E7A" w:rsidP="00EC3E7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Frames for high humidity areas to be </w:t>
      </w:r>
      <w:r>
        <w:rPr>
          <w:rFonts w:ascii="Arial" w:hAnsi="Arial"/>
        </w:rPr>
        <w:t>hot dipped</w:t>
      </w:r>
      <w:r w:rsidRPr="00E26152">
        <w:rPr>
          <w:rFonts w:ascii="Arial" w:hAnsi="Arial"/>
        </w:rPr>
        <w:t xml:space="preserve"> galvanized prior to pre-finishing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See 2.02.B for 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FA67F6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 w:rsidR="00340B5E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Steel:  Prefinished with factory applied impact resistant</w:t>
      </w:r>
      <w:r w:rsidR="00EC3E7A" w:rsidRPr="00EC3E7A">
        <w:rPr>
          <w:rFonts w:ascii="Arial" w:hAnsi="Arial"/>
        </w:rPr>
        <w:t xml:space="preserve"> </w:t>
      </w:r>
      <w:r w:rsidR="00EC3E7A">
        <w:rPr>
          <w:rFonts w:ascii="Arial" w:hAnsi="Arial"/>
        </w:rPr>
        <w:t>polyurethane</w:t>
      </w:r>
      <w:r w:rsidR="00EC3E7A" w:rsidRPr="00E26152">
        <w:rPr>
          <w:rFonts w:ascii="Arial" w:hAnsi="Arial"/>
        </w:rPr>
        <w:t xml:space="preserve"> baked enamel finish</w:t>
      </w:r>
    </w:p>
    <w:p w:rsidR="00EC3E7A" w:rsidRPr="00E26152" w:rsidRDefault="00EC3E7A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Pr="00E26152">
        <w:rPr>
          <w:rFonts w:ascii="Arial" w:hAnsi="Arial"/>
        </w:rPr>
        <w:t xml:space="preserve">Aluminum:  Prefinished with factory applied impact resistant, </w:t>
      </w:r>
      <w:r>
        <w:rPr>
          <w:rFonts w:ascii="Arial" w:hAnsi="Arial"/>
        </w:rPr>
        <w:t>polyurethane</w:t>
      </w:r>
      <w:r w:rsidRPr="00E26152">
        <w:rPr>
          <w:rFonts w:ascii="Arial" w:hAnsi="Arial"/>
        </w:rPr>
        <w:t xml:space="preserve"> </w:t>
      </w:r>
      <w:bookmarkStart w:id="0" w:name="_GoBack"/>
      <w:bookmarkEnd w:id="0"/>
      <w:r w:rsidRPr="00E26152">
        <w:rPr>
          <w:rFonts w:ascii="Arial" w:hAnsi="Arial"/>
        </w:rPr>
        <w:t>baked enamel finish or Clear anodized</w:t>
      </w:r>
      <w:r>
        <w:rPr>
          <w:rFonts w:ascii="Arial" w:hAnsi="Arial"/>
        </w:rPr>
        <w:t xml:space="preserve"> for </w:t>
      </w:r>
      <w:proofErr w:type="spellStart"/>
      <w:r>
        <w:rPr>
          <w:rFonts w:ascii="Arial" w:hAnsi="Arial"/>
        </w:rPr>
        <w:t>Alumatone</w:t>
      </w:r>
      <w:proofErr w:type="spellEnd"/>
      <w:r>
        <w:rPr>
          <w:rFonts w:ascii="Arial" w:hAnsi="Arial"/>
        </w:rPr>
        <w:t xml:space="preserve"> (SC108) paint finished frames</w:t>
      </w:r>
    </w:p>
    <w:p w:rsidR="00FA67F6" w:rsidRPr="00E26152" w:rsidRDefault="00340B5E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3</w:t>
      </w:r>
      <w:r w:rsidR="001E6702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PVC:  Finished to match the frame color.</w:t>
      </w:r>
    </w:p>
    <w:p w:rsidR="00FA67F6" w:rsidRPr="00E26152" w:rsidRDefault="006115F4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4</w:t>
      </w:r>
      <w:r>
        <w:rPr>
          <w:rFonts w:ascii="Arial" w:hAnsi="Arial"/>
        </w:rPr>
        <w:t>.  Primer:  Hot Dipped Galvanized with 2 coats of white prime paint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 w:rsidR="00340B5E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Standard Colors:  Browntone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</w:t>
      </w:r>
      <w:proofErr w:type="gramStart"/>
      <w:r>
        <w:rPr>
          <w:rFonts w:ascii="Arial" w:hAnsi="Arial"/>
        </w:rPr>
        <w:t xml:space="preserve">or </w:t>
      </w:r>
      <w:r w:rsidR="00FA67F6" w:rsidRPr="00E26152">
        <w:rPr>
          <w:rFonts w:ascii="Arial" w:hAnsi="Arial"/>
        </w:rPr>
        <w:t xml:space="preserve"> Western</w:t>
      </w:r>
      <w:proofErr w:type="gramEnd"/>
      <w:r w:rsidR="00FA67F6" w:rsidRPr="00E26152">
        <w:rPr>
          <w:rFonts w:ascii="Arial" w:hAnsi="Arial"/>
        </w:rPr>
        <w:t xml:space="preserve">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</w:p>
    <w:p w:rsidR="00FA67F6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340B5E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13555D" w:rsidRPr="0013555D">
        <w:rPr>
          <w:rFonts w:ascii="Arial" w:hAnsi="Arial"/>
          <w:color w:val="548DD4" w:themeColor="text2" w:themeTint="99"/>
        </w:rPr>
        <w:t>Slight a</w:t>
      </w:r>
      <w:r w:rsidR="0016739A" w:rsidRPr="0013555D">
        <w:rPr>
          <w:rFonts w:ascii="Arial" w:hAnsi="Arial"/>
          <w:color w:val="548DD4" w:themeColor="text2" w:themeTint="99"/>
        </w:rPr>
        <w:t>dditional</w:t>
      </w:r>
      <w:r w:rsidR="00FA67F6" w:rsidRPr="0013555D">
        <w:rPr>
          <w:rFonts w:ascii="Arial" w:hAnsi="Arial"/>
          <w:color w:val="548DD4" w:themeColor="text2" w:themeTint="99"/>
        </w:rPr>
        <w:t xml:space="preserve"> </w:t>
      </w:r>
      <w:r w:rsidR="0013555D" w:rsidRPr="0013555D">
        <w:rPr>
          <w:rFonts w:ascii="Arial" w:hAnsi="Arial"/>
          <w:color w:val="548DD4" w:themeColor="text2" w:themeTint="99"/>
        </w:rPr>
        <w:t>c</w:t>
      </w:r>
      <w:r w:rsidR="00FA67F6" w:rsidRPr="0013555D">
        <w:rPr>
          <w:rFonts w:ascii="Arial" w:hAnsi="Arial"/>
          <w:color w:val="548DD4" w:themeColor="text2" w:themeTint="99"/>
        </w:rPr>
        <w:t>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 xml:space="preserve">),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8817DA" w:rsidRPr="00E26152" w:rsidRDefault="008817DA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  Black Nickel</w:t>
      </w:r>
    </w:p>
    <w:p w:rsidR="00CF661A" w:rsidRDefault="008817DA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</w:t>
      </w:r>
      <w:r w:rsidR="007C7ADE">
        <w:rPr>
          <w:rFonts w:ascii="Arial" w:hAnsi="Arial"/>
        </w:rPr>
        <w:t>.</w:t>
      </w:r>
      <w:r w:rsidR="00340B5E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manufacturer’s standard pre-matched custom colors</w:t>
      </w:r>
      <w:r w:rsidR="00FA67F6" w:rsidRPr="00E26152">
        <w:rPr>
          <w:rFonts w:ascii="Arial" w:hAnsi="Arial"/>
        </w:rPr>
        <w:t xml:space="preserve">  </w:t>
      </w:r>
    </w:p>
    <w:p w:rsidR="00CF661A" w:rsidRPr="00723BDE" w:rsidRDefault="008817DA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7C7ADE">
        <w:rPr>
          <w:rFonts w:ascii="Arial" w:hAnsi="Arial"/>
        </w:rPr>
        <w:t>.</w:t>
      </w:r>
      <w:r w:rsidR="00340B5E">
        <w:rPr>
          <w:rFonts w:ascii="Arial" w:hAnsi="Arial"/>
        </w:rPr>
        <w:t xml:space="preserve">  </w:t>
      </w:r>
      <w:r w:rsidR="00FA67F6" w:rsidRPr="00723BDE">
        <w:rPr>
          <w:rFonts w:ascii="Arial" w:hAnsi="Arial"/>
        </w:rPr>
        <w:t>Custom Colors:  Color custom matched for project requirements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t>Part 3 – EXECUTION</w:t>
      </w:r>
    </w:p>
    <w:p w:rsidR="00FA67F6" w:rsidRPr="00340B5E" w:rsidRDefault="00340B5E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340B5E">
        <w:rPr>
          <w:rFonts w:ascii="Arial" w:hAnsi="Arial"/>
          <w:sz w:val="24"/>
          <w:szCs w:val="24"/>
        </w:rPr>
        <w:t>3.01</w:t>
      </w:r>
      <w:r w:rsidR="00CF661A" w:rsidRPr="00340B5E">
        <w:rPr>
          <w:rFonts w:ascii="Arial" w:hAnsi="Arial"/>
          <w:sz w:val="24"/>
          <w:szCs w:val="24"/>
        </w:rPr>
        <w:tab/>
      </w:r>
      <w:r w:rsidR="00FA67F6" w:rsidRPr="00340B5E">
        <w:rPr>
          <w:rFonts w:ascii="Arial" w:hAnsi="Arial"/>
          <w:sz w:val="24"/>
          <w:szCs w:val="24"/>
        </w:rPr>
        <w:t>E</w:t>
      </w:r>
      <w:r w:rsidR="00CF661A" w:rsidRPr="00340B5E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FD6F45">
        <w:rPr>
          <w:rFonts w:ascii="Arial" w:hAnsi="Arial"/>
        </w:rPr>
        <w:t xml:space="preserve">wall thicknesses are within specified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FD6F45">
        <w:rPr>
          <w:rFonts w:ascii="Arial" w:hAnsi="Arial"/>
        </w:rPr>
        <w:tab/>
      </w:r>
      <w:r>
        <w:rPr>
          <w:rFonts w:ascii="Arial" w:hAnsi="Arial"/>
        </w:rPr>
        <w:t>Verify that all finished</w:t>
      </w:r>
      <w:r>
        <w:rPr>
          <w:rFonts w:ascii="Arial" w:hAnsi="Arial"/>
        </w:rPr>
        <w:tab/>
        <w:t>walls are in plane to ensure proper door alignment</w:t>
      </w:r>
      <w:r w:rsidR="00FD6F45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</w:p>
    <w:p w:rsidR="00FA67F6" w:rsidRPr="00340B5E" w:rsidRDefault="00340B5E" w:rsidP="00340B5E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340B5E">
        <w:rPr>
          <w:rFonts w:ascii="Arial" w:hAnsi="Arial"/>
          <w:sz w:val="24"/>
          <w:szCs w:val="24"/>
        </w:rPr>
        <w:lastRenderedPageBreak/>
        <w:t>3.02</w:t>
      </w:r>
      <w:r w:rsidRPr="00340B5E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340B5E" w:rsidP="00340B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621BBE" w:rsidP="00340B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6242050</wp:posOffset>
                </wp:positionV>
                <wp:extent cx="914400" cy="9144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55D" w:rsidRDefault="001355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1.25pt;margin-top:491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">
                <v:textbox>
                  <w:txbxContent>
                    <w:p w:rsidR="0013555D" w:rsidRDefault="0013555D"/>
                  </w:txbxContent>
                </v:textbox>
              </v:shape>
            </w:pict>
          </mc:Fallback>
        </mc:AlternateContent>
      </w:r>
      <w:r w:rsidR="00340B5E">
        <w:rPr>
          <w:rFonts w:ascii="Arial" w:hAnsi="Arial"/>
        </w:rPr>
        <w:t>B.</w:t>
      </w:r>
      <w:r w:rsidR="00340B5E"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 w:rsidR="00340B5E"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 </w:t>
      </w:r>
      <w:r w:rsidR="003C5C12" w:rsidRPr="00CF661A">
        <w:rPr>
          <w:rFonts w:ascii="Arial" w:hAnsi="Arial"/>
        </w:rPr>
        <w:t xml:space="preserve">Field </w:t>
      </w:r>
      <w:proofErr w:type="gramStart"/>
      <w:r w:rsidR="003C5C12" w:rsidRPr="00CF661A">
        <w:rPr>
          <w:rFonts w:ascii="Arial" w:hAnsi="Arial"/>
        </w:rPr>
        <w:t>verify</w:t>
      </w:r>
      <w:proofErr w:type="gramEnd"/>
      <w:r w:rsidR="003C5C12" w:rsidRPr="00CF661A">
        <w:rPr>
          <w:rFonts w:ascii="Arial" w:hAnsi="Arial"/>
        </w:rPr>
        <w:t xml:space="preserve"> quantity and location of fasteners prior </w:t>
      </w:r>
      <w:r w:rsidR="00340B5E"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340B5E" w:rsidP="00340B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Pre</w:t>
      </w:r>
      <w:r w:rsidR="0047255A" w:rsidRPr="00E26152">
        <w:rPr>
          <w:rFonts w:ascii="Arial" w:hAnsi="Arial"/>
        </w:rPr>
        <w:t>-</w:t>
      </w:r>
      <w:r w:rsidR="00FA67F6" w:rsidRPr="00E26152">
        <w:rPr>
          <w:rFonts w:ascii="Arial" w:hAnsi="Arial"/>
        </w:rPr>
        <w:t xml:space="preserve">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coverings.</w:t>
      </w:r>
    </w:p>
    <w:p w:rsidR="00707C87" w:rsidRPr="00E26152" w:rsidRDefault="00340B5E" w:rsidP="00340B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frames using qualified installers familiar with installation of pre-finished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340B5E" w:rsidP="00340B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340B5E" w:rsidP="00340B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71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 and doors in Section 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21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0.</w:t>
      </w:r>
    </w:p>
    <w:p w:rsidR="00FA67F6" w:rsidRPr="00E26152" w:rsidRDefault="00340B5E" w:rsidP="00340B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sectPr w:rsidR="00FA67F6" w:rsidRPr="00BF4543" w:rsidSect="00F97A2B">
      <w:head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E3" w:rsidRDefault="00115DE3">
      <w:r>
        <w:separator/>
      </w:r>
    </w:p>
  </w:endnote>
  <w:endnote w:type="continuationSeparator" w:id="0">
    <w:p w:rsidR="00115DE3" w:rsidRDefault="0011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E3" w:rsidRDefault="00115DE3">
      <w:r>
        <w:separator/>
      </w:r>
    </w:p>
  </w:footnote>
  <w:footnote w:type="continuationSeparator" w:id="0">
    <w:p w:rsidR="00115DE3" w:rsidRDefault="00115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5D" w:rsidRPr="00E26152" w:rsidRDefault="0013555D">
    <w:pPr>
      <w:tabs>
        <w:tab w:val="right" w:pos="9360"/>
      </w:tabs>
      <w:rPr>
        <w:rFonts w:ascii="Arial" w:hAnsi="Arial"/>
        <w:lang w:val="en-CA"/>
      </w:rPr>
    </w:pPr>
    <w:r w:rsidRPr="00E26152">
      <w:rPr>
        <w:rFonts w:ascii="Arial" w:hAnsi="Arial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Pr="00E26152">
      <w:rPr>
        <w:rFonts w:ascii="Arial" w:hAnsi="Arial"/>
        <w:b/>
        <w:sz w:val="24"/>
        <w:szCs w:val="24"/>
        <w:lang w:val="en-CA"/>
      </w:rPr>
      <w:t>08 12 1</w:t>
    </w:r>
    <w:r>
      <w:rPr>
        <w:rFonts w:ascii="Arial" w:hAnsi="Arial"/>
        <w:b/>
        <w:sz w:val="24"/>
        <w:szCs w:val="24"/>
        <w:lang w:val="en-CA"/>
      </w:rPr>
      <w:t>7</w:t>
    </w:r>
  </w:p>
  <w:p w:rsidR="0013555D" w:rsidRPr="00E26152" w:rsidRDefault="00E60385">
    <w:pPr>
      <w:tabs>
        <w:tab w:val="right" w:pos="9360"/>
      </w:tabs>
      <w:rPr>
        <w:rFonts w:ascii="Arial" w:hAnsi="Arial"/>
        <w:b/>
        <w:bCs/>
        <w:lang w:val="en-CA"/>
      </w:rPr>
    </w:pPr>
    <w:r>
      <w:rPr>
        <w:rFonts w:ascii="Arial" w:hAnsi="Arial"/>
        <w:lang w:val="en-CA"/>
      </w:rPr>
      <w:t>Ju</w:t>
    </w:r>
    <w:r w:rsidR="008817DA">
      <w:rPr>
        <w:rFonts w:ascii="Arial" w:hAnsi="Arial"/>
        <w:lang w:val="en-CA"/>
      </w:rPr>
      <w:t>ly</w:t>
    </w:r>
    <w:r>
      <w:rPr>
        <w:rFonts w:ascii="Arial" w:hAnsi="Arial"/>
        <w:lang w:val="en-CA"/>
      </w:rPr>
      <w:t xml:space="preserve"> </w:t>
    </w:r>
    <w:r w:rsidR="008817DA">
      <w:rPr>
        <w:rFonts w:ascii="Arial" w:hAnsi="Arial"/>
        <w:lang w:val="en-CA"/>
      </w:rPr>
      <w:t>18</w:t>
    </w:r>
    <w:r>
      <w:rPr>
        <w:rFonts w:ascii="Arial" w:hAnsi="Arial"/>
        <w:lang w:val="en-CA"/>
      </w:rPr>
      <w:t>, 2012</w:t>
    </w:r>
    <w:r w:rsidR="0013555D" w:rsidRPr="00E26152">
      <w:rPr>
        <w:rFonts w:ascii="Arial" w:hAnsi="Arial"/>
        <w:lang w:val="en-CA"/>
      </w:rPr>
      <w:tab/>
    </w:r>
    <w:r w:rsidR="0013555D" w:rsidRPr="00E26152">
      <w:rPr>
        <w:rFonts w:ascii="Arial" w:hAnsi="Arial"/>
        <w:b/>
        <w:bCs/>
        <w:lang w:val="en-CA"/>
      </w:rPr>
      <w:t>PREFINISHED STEEL DOOR FRAMES</w:t>
    </w:r>
  </w:p>
  <w:p w:rsidR="0013555D" w:rsidRPr="00E26152" w:rsidRDefault="0013555D">
    <w:pPr>
      <w:pStyle w:val="Footer"/>
      <w:tabs>
        <w:tab w:val="clear" w:pos="4680"/>
      </w:tabs>
      <w:rPr>
        <w:rFonts w:ascii="Arial" w:hAnsi="Arial"/>
        <w:lang w:val="en-CA"/>
      </w:rPr>
    </w:pPr>
    <w:r>
      <w:rPr>
        <w:rFonts w:ascii="Arial" w:hAnsi="Arial"/>
        <w:b/>
        <w:lang w:val="en-CA"/>
      </w:rPr>
      <w:t>MEDICAL/DENTAL OFFICES</w:t>
    </w:r>
    <w:r w:rsidRPr="00E26152">
      <w:rPr>
        <w:rFonts w:ascii="Arial" w:hAnsi="Arial"/>
        <w:lang w:val="en-CA"/>
      </w:rPr>
      <w:tab/>
      <w:t xml:space="preserve">Page </w:t>
    </w:r>
    <w:r w:rsidRPr="00E26152">
      <w:rPr>
        <w:rFonts w:ascii="Arial" w:hAnsi="Arial"/>
        <w:lang w:val="en-CA"/>
      </w:rPr>
      <w:pgNum/>
    </w:r>
  </w:p>
  <w:p w:rsidR="0013555D" w:rsidRDefault="001355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05DC9"/>
    <w:rsid w:val="0009308D"/>
    <w:rsid w:val="000D7ED4"/>
    <w:rsid w:val="00115DE3"/>
    <w:rsid w:val="0013555D"/>
    <w:rsid w:val="001417B7"/>
    <w:rsid w:val="0016739A"/>
    <w:rsid w:val="00167470"/>
    <w:rsid w:val="00190B02"/>
    <w:rsid w:val="001E6702"/>
    <w:rsid w:val="001F2EFF"/>
    <w:rsid w:val="00223426"/>
    <w:rsid w:val="00231C8A"/>
    <w:rsid w:val="00236EBC"/>
    <w:rsid w:val="00243D83"/>
    <w:rsid w:val="002F406C"/>
    <w:rsid w:val="00311FBE"/>
    <w:rsid w:val="00340B5E"/>
    <w:rsid w:val="003712A7"/>
    <w:rsid w:val="003A7F94"/>
    <w:rsid w:val="003B5517"/>
    <w:rsid w:val="003C5C12"/>
    <w:rsid w:val="003E7115"/>
    <w:rsid w:val="0047255A"/>
    <w:rsid w:val="004D5774"/>
    <w:rsid w:val="00501B8F"/>
    <w:rsid w:val="00504DED"/>
    <w:rsid w:val="00526283"/>
    <w:rsid w:val="006115F4"/>
    <w:rsid w:val="00621692"/>
    <w:rsid w:val="00621BBE"/>
    <w:rsid w:val="00654434"/>
    <w:rsid w:val="006770F9"/>
    <w:rsid w:val="00683990"/>
    <w:rsid w:val="006C0972"/>
    <w:rsid w:val="00707C87"/>
    <w:rsid w:val="007227CC"/>
    <w:rsid w:val="00723BDE"/>
    <w:rsid w:val="00757F8C"/>
    <w:rsid w:val="007C7ADE"/>
    <w:rsid w:val="00806922"/>
    <w:rsid w:val="008817DA"/>
    <w:rsid w:val="008949FB"/>
    <w:rsid w:val="008C5A46"/>
    <w:rsid w:val="0091169D"/>
    <w:rsid w:val="00930337"/>
    <w:rsid w:val="00966E44"/>
    <w:rsid w:val="00974EF6"/>
    <w:rsid w:val="009B0DE5"/>
    <w:rsid w:val="009E69CE"/>
    <w:rsid w:val="009F6EB1"/>
    <w:rsid w:val="00A22117"/>
    <w:rsid w:val="00AB1DE4"/>
    <w:rsid w:val="00AC5B01"/>
    <w:rsid w:val="00B01E88"/>
    <w:rsid w:val="00B30914"/>
    <w:rsid w:val="00B400E9"/>
    <w:rsid w:val="00B741FC"/>
    <w:rsid w:val="00BE6B3B"/>
    <w:rsid w:val="00BF4543"/>
    <w:rsid w:val="00C03804"/>
    <w:rsid w:val="00C34C35"/>
    <w:rsid w:val="00C478EF"/>
    <w:rsid w:val="00CE0DD9"/>
    <w:rsid w:val="00CF661A"/>
    <w:rsid w:val="00D12890"/>
    <w:rsid w:val="00D657EF"/>
    <w:rsid w:val="00D83651"/>
    <w:rsid w:val="00DA3D9A"/>
    <w:rsid w:val="00DB2BB2"/>
    <w:rsid w:val="00DD5119"/>
    <w:rsid w:val="00DE14F2"/>
    <w:rsid w:val="00DE4F81"/>
    <w:rsid w:val="00DE6295"/>
    <w:rsid w:val="00E00941"/>
    <w:rsid w:val="00E26152"/>
    <w:rsid w:val="00E60385"/>
    <w:rsid w:val="00EC3E7A"/>
    <w:rsid w:val="00F70EB2"/>
    <w:rsid w:val="00F97A2B"/>
    <w:rsid w:val="00FA67F6"/>
    <w:rsid w:val="00FD6F45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A2B"/>
    <w:rPr>
      <w:sz w:val="22"/>
    </w:rPr>
  </w:style>
  <w:style w:type="paragraph" w:styleId="Heading1">
    <w:name w:val="heading 1"/>
    <w:basedOn w:val="Normal"/>
    <w:next w:val="Heading2"/>
    <w:qFormat/>
    <w:rsid w:val="00F97A2B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F97A2B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F97A2B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F97A2B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F97A2B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F97A2B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F97A2B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F97A2B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F97A2B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F97A2B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F97A2B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F97A2B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F97A2B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F97A2B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F97A2B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F97A2B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F97A2B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F97A2B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F97A2B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F97A2B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F97A2B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F97A2B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F97A2B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F97A2B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F97A2B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F97A2B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F97A2B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F97A2B"/>
    <w:rPr>
      <w:color w:val="FF0000"/>
    </w:rPr>
  </w:style>
  <w:style w:type="paragraph" w:customStyle="1" w:styleId="EndOfSection">
    <w:name w:val="EndOfSection"/>
    <w:basedOn w:val="Normal"/>
    <w:rsid w:val="00F97A2B"/>
    <w:pPr>
      <w:spacing w:before="600"/>
      <w:jc w:val="center"/>
    </w:pPr>
  </w:style>
  <w:style w:type="paragraph" w:customStyle="1" w:styleId="SpecNoteEnv">
    <w:name w:val="SpecNoteEnv"/>
    <w:rsid w:val="00F97A2B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F97A2B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F97A2B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F97A2B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F97A2B"/>
    <w:rPr>
      <w:color w:val="00FF00"/>
      <w:u w:val="single"/>
    </w:rPr>
  </w:style>
  <w:style w:type="character" w:styleId="Hyperlink">
    <w:name w:val="Hyperlink"/>
    <w:basedOn w:val="DefaultParagraphFont"/>
    <w:rsid w:val="00F97A2B"/>
    <w:rPr>
      <w:color w:val="0000FF"/>
      <w:u w:val="single"/>
    </w:rPr>
  </w:style>
  <w:style w:type="character" w:styleId="FollowedHyperlink">
    <w:name w:val="FollowedHyperlink"/>
    <w:basedOn w:val="DefaultParagraphFont"/>
    <w:rsid w:val="00F97A2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A2B"/>
    <w:rPr>
      <w:sz w:val="22"/>
    </w:rPr>
  </w:style>
  <w:style w:type="paragraph" w:styleId="Heading1">
    <w:name w:val="heading 1"/>
    <w:basedOn w:val="Normal"/>
    <w:next w:val="Heading2"/>
    <w:qFormat/>
    <w:rsid w:val="00F97A2B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F97A2B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F97A2B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F97A2B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F97A2B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F97A2B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F97A2B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F97A2B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F97A2B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F97A2B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F97A2B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F97A2B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F97A2B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F97A2B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F97A2B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F97A2B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F97A2B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F97A2B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F97A2B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F97A2B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F97A2B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F97A2B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F97A2B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F97A2B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F97A2B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F97A2B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F97A2B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F97A2B"/>
    <w:rPr>
      <w:color w:val="FF0000"/>
    </w:rPr>
  </w:style>
  <w:style w:type="paragraph" w:customStyle="1" w:styleId="EndOfSection">
    <w:name w:val="EndOfSection"/>
    <w:basedOn w:val="Normal"/>
    <w:rsid w:val="00F97A2B"/>
    <w:pPr>
      <w:spacing w:before="600"/>
      <w:jc w:val="center"/>
    </w:pPr>
  </w:style>
  <w:style w:type="paragraph" w:customStyle="1" w:styleId="SpecNoteEnv">
    <w:name w:val="SpecNoteEnv"/>
    <w:rsid w:val="00F97A2B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F97A2B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F97A2B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F97A2B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F97A2B"/>
    <w:rPr>
      <w:color w:val="00FF00"/>
      <w:u w:val="single"/>
    </w:rPr>
  </w:style>
  <w:style w:type="character" w:styleId="Hyperlink">
    <w:name w:val="Hyperlink"/>
    <w:basedOn w:val="DefaultParagraphFont"/>
    <w:rsid w:val="00F97A2B"/>
    <w:rPr>
      <w:color w:val="0000FF"/>
      <w:u w:val="single"/>
    </w:rPr>
  </w:style>
  <w:style w:type="character" w:styleId="FollowedHyperlink">
    <w:name w:val="FollowedHyperlink"/>
    <w:basedOn w:val="DefaultParagraphFont"/>
    <w:rsid w:val="00F97A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yfra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30</TotalTime>
  <Pages>6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11910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4</cp:revision>
  <cp:lastPrinted>2007-05-18T17:10:00Z</cp:lastPrinted>
  <dcterms:created xsi:type="dcterms:W3CDTF">2016-08-04T22:28:00Z</dcterms:created>
  <dcterms:modified xsi:type="dcterms:W3CDTF">2016-08-10T22:49:00Z</dcterms:modified>
</cp:coreProperties>
</file>